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</w:pPr>
      <w:bookmarkStart w:id="0" w:name="_Toc15704"/>
      <w:bookmarkStart w:id="1" w:name="_Toc21063"/>
      <w:bookmarkStart w:id="2" w:name="_Toc6568"/>
      <w:bookmarkStart w:id="3" w:name="_Toc8554"/>
      <w:bookmarkStart w:id="4" w:name="_Toc5665"/>
      <w:bookmarkStart w:id="5" w:name="_Toc30452"/>
      <w:bookmarkStart w:id="6" w:name="_Toc9582"/>
      <w:bookmarkStart w:id="7" w:name="_Toc21804"/>
      <w:bookmarkStart w:id="8" w:name="_Toc26669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二十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  <w:bookmarkStart w:id="9" w:name="_GoBack"/>
      <w:bookmarkEnd w:id="9"/>
    </w:p>
    <w:p>
      <w:pPr>
        <w:jc w:val="center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人民防空办公室</w:t>
      </w:r>
      <w:bookmarkEnd w:id="3"/>
      <w:bookmarkEnd w:id="4"/>
      <w:bookmarkEnd w:id="5"/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 w:val="0"/>
          <w:sz w:val="44"/>
          <w:szCs w:val="44"/>
          <w:lang w:val="en-US" w:eastAsia="zh-CN"/>
        </w:rPr>
        <w:t>关于XX陈述申辩书的回复函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宋体" w:hAnsi="宋体" w:cs="方正小标宋简体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hanging="640" w:hanging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XX公司：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你（单位）《关于XX人防办征费</w:t>
      </w:r>
      <w:r>
        <w:rPr>
          <w:rFonts w:hint="eastAsia" w:ascii="仿宋" w:hAnsi="仿宋" w:eastAsia="仿宋" w:cs="仿宋"/>
          <w:kern w:val="0"/>
          <w:sz w:val="32"/>
          <w:szCs w:val="32"/>
          <w:u w:val="none"/>
          <w:shd w:val="clear" w:color="auto" w:fill="FFFFFF"/>
        </w:rPr>
        <w:t>〔</w:t>
      </w: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XX</w:t>
      </w:r>
      <w:r>
        <w:rPr>
          <w:rFonts w:hint="eastAsia" w:ascii="仿宋" w:hAnsi="仿宋" w:eastAsia="仿宋" w:cs="仿宋"/>
          <w:kern w:val="0"/>
          <w:sz w:val="32"/>
          <w:szCs w:val="32"/>
          <w:u w:val="none"/>
          <w:shd w:val="clear" w:color="auto" w:fill="FFFFFF"/>
        </w:rPr>
        <w:t>〕</w:t>
      </w: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X</w:t>
      </w: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</w:rPr>
        <w:t>号</w:t>
      </w: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告知书的陈述申辩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》收悉，现回复如下：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经执法人员现场检查，你（单位）“XX”项目应建人防面积XX㎡既没有修建，又未缴纳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人民防空工程易地建设费，</w:t>
      </w: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事实清楚。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根据《XX》（XX）及《XX》明确的“对于缓建项目，重新进行核查核实，具备缓建条件的，于XX年XX月XX日前开工建设，不具备缓建条件的，按规定限期追缴易地建设费”整治要求，我队执法人员通过实地踏勘、调查谈话、查证资料，你（单位）“XX”项目XX工程目前只完成立项手续，其他手续尚未办理，无法于XX年XX月XX日前开工建设，不具备缓建条件。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因此，你（单位）“XX”项目属于“不具备缓建条件的，按规定限期追缴易地设费”专项整治范围，应当追缴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人民防空工程易地建设费</w:t>
      </w: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8" w:leftChars="304" w:firstLine="0" w:firstLineChars="0"/>
        <w:jc w:val="both"/>
        <w:textAlignment w:val="auto"/>
        <w:rPr>
          <w:rFonts w:hint="default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特此复函！</w:t>
      </w: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hanging="640" w:hangingChars="200"/>
        <w:jc w:val="both"/>
        <w:textAlignment w:val="auto"/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hanging="640" w:hangingChars="200"/>
        <w:jc w:val="both"/>
        <w:textAlignment w:val="auto"/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hanging="640" w:hangingChars="200"/>
        <w:jc w:val="both"/>
        <w:textAlignment w:val="auto"/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00"/>
          <w:tab w:val="center" w:pos="4365"/>
          <w:tab w:val="left" w:pos="63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80" w:leftChars="2400" w:hanging="640" w:hangingChars="200"/>
        <w:jc w:val="center"/>
        <w:textAlignment w:val="auto"/>
        <w:rPr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u w:val="none"/>
          <w:shd w:val="clear" w:color="auto" w:fill="FFFFFF"/>
          <w:lang w:val="en-US" w:eastAsia="zh-CN"/>
        </w:rPr>
        <w:t>XX年XX月XX日</w:t>
      </w:r>
    </w:p>
    <w:p/>
    <w:sectPr>
      <w:headerReference r:id="rId3" w:type="default"/>
      <w:footerReference r:id="rId4" w:type="default"/>
      <w:pgSz w:w="11906" w:h="16838"/>
      <w:pgMar w:top="1701" w:right="1474" w:bottom="1701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" w:hAnsi="仿宋" w:eastAsia="仿宋" w:cs="仿宋"/>
        <w:b w:val="0"/>
        <w:bCs w:val="0"/>
        <w:sz w:val="24"/>
        <w:szCs w:val="24"/>
      </w:rPr>
      <w:t>本文书一式两份：一份由</w:t>
    </w:r>
    <w:r>
      <w:rPr>
        <w:rFonts w:hint="eastAsia" w:ascii="仿宋" w:hAnsi="仿宋" w:eastAsia="仿宋" w:cs="仿宋"/>
        <w:b w:val="0"/>
        <w:bCs w:val="0"/>
        <w:sz w:val="24"/>
        <w:szCs w:val="24"/>
        <w:lang w:val="en-US" w:eastAsia="zh-CN"/>
      </w:rPr>
      <w:t xml:space="preserve">   </w:t>
    </w:r>
    <w:r>
      <w:rPr>
        <w:rFonts w:hint="eastAsia" w:ascii="仿宋" w:hAnsi="仿宋" w:eastAsia="仿宋" w:cs="仿宋"/>
        <w:b w:val="0"/>
        <w:bCs w:val="0"/>
        <w:sz w:val="24"/>
        <w:szCs w:val="24"/>
      </w:rPr>
      <w:t>市人防</w:t>
    </w:r>
    <w:r>
      <w:rPr>
        <w:rFonts w:hint="eastAsia" w:ascii="仿宋" w:hAnsi="仿宋" w:eastAsia="仿宋" w:cs="仿宋"/>
        <w:b w:val="0"/>
        <w:bCs w:val="0"/>
        <w:sz w:val="24"/>
        <w:szCs w:val="24"/>
        <w:lang w:eastAsia="zh-CN"/>
      </w:rPr>
      <w:t>办</w:t>
    </w:r>
    <w:r>
      <w:rPr>
        <w:rFonts w:hint="eastAsia" w:ascii="仿宋" w:hAnsi="仿宋" w:eastAsia="仿宋" w:cs="仿宋"/>
        <w:b w:val="0"/>
        <w:bCs w:val="0"/>
        <w:sz w:val="24"/>
        <w:szCs w:val="24"/>
      </w:rPr>
      <w:t>备案，一份交当事人。</w: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A44E2"/>
    <w:rsid w:val="25BB6DD9"/>
    <w:rsid w:val="27A3007B"/>
    <w:rsid w:val="4E8E0012"/>
    <w:rsid w:val="6CE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