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hd w:val="clear" w:color="auto" w:fill="FFFFFF"/>
        <w:jc w:val="center"/>
        <w:rPr>
          <w:rFonts w:ascii="仿宋_GB2312" w:eastAsia="仿宋_GB2312"/>
          <w:sz w:val="32"/>
        </w:rPr>
      </w:pPr>
      <w:r>
        <w:rPr>
          <w:rFonts w:hint="eastAsia" w:ascii="仿宋_GB2312" w:eastAsia="仿宋_GB2312"/>
          <w:sz w:val="32"/>
        </w:rPr>
        <w:t>陕</w:t>
      </w:r>
      <w:r>
        <w:rPr>
          <w:rFonts w:hint="eastAsia" w:ascii="仿宋_GB2312" w:eastAsia="仿宋_GB2312"/>
          <w:sz w:val="32"/>
          <w:lang w:eastAsia="zh-CN"/>
        </w:rPr>
        <w:t>国动</w:t>
      </w:r>
      <w:r>
        <w:rPr>
          <w:rFonts w:hint="eastAsia" w:ascii="仿宋_GB2312" w:eastAsia="仿宋_GB2312"/>
          <w:sz w:val="32"/>
        </w:rPr>
        <w:t>发〔</w:t>
      </w:r>
      <w:r>
        <w:rPr>
          <w:rFonts w:hint="eastAsia" w:ascii="仿宋_GB2312" w:eastAsia="仿宋_GB2312"/>
          <w:sz w:val="32"/>
          <w:lang w:eastAsia="zh-CN"/>
        </w:rPr>
        <w:t>2023</w:t>
      </w:r>
      <w:r>
        <w:rPr>
          <w:rFonts w:hint="eastAsia" w:ascii="仿宋_GB2312" w:eastAsia="仿宋_GB2312"/>
          <w:sz w:val="32"/>
        </w:rPr>
        <w:t>〕</w:t>
      </w:r>
      <w:r>
        <w:rPr>
          <w:rFonts w:hint="eastAsia" w:ascii="仿宋_GB2312" w:eastAsia="仿宋_GB2312"/>
          <w:sz w:val="32"/>
          <w:lang w:val="en-US" w:eastAsia="zh-CN"/>
        </w:rPr>
        <w:t>10</w:t>
      </w:r>
      <w:r>
        <w:rPr>
          <w:rFonts w:hint="eastAsia" w:ascii="仿宋_GB2312" w:eastAsia="仿宋_GB2312"/>
          <w:sz w:val="32"/>
        </w:rPr>
        <w:t>号</w:t>
      </w:r>
    </w:p>
    <w:p>
      <w:pPr>
        <w:spacing w:line="560" w:lineRule="exact"/>
        <w:jc w:val="center"/>
        <w:rPr>
          <w:rFonts w:hint="eastAsia" w:ascii="方正小标宋简体" w:hAnsi="方正小标宋_GBK" w:eastAsia="方正小标宋简体" w:cs="方正小标宋_GBK"/>
          <w:sz w:val="44"/>
          <w:szCs w:val="44"/>
        </w:rPr>
      </w:pPr>
      <w:bookmarkStart w:id="0" w:name="_GoBack"/>
      <w:bookmarkEnd w:id="0"/>
    </w:p>
    <w:p>
      <w:pPr>
        <w:spacing w:line="560" w:lineRule="exact"/>
        <w:jc w:val="center"/>
        <w:rPr>
          <w:rFonts w:hint="eastAsia" w:ascii="方正小标宋简体" w:hAnsi="方正小标宋_GBK" w:eastAsia="方正小标宋简体" w:cs="方正小标宋_GBK"/>
          <w:sz w:val="44"/>
          <w:szCs w:val="44"/>
        </w:rPr>
      </w:pPr>
    </w:p>
    <w:p>
      <w:pPr>
        <w:spacing w:line="560" w:lineRule="exact"/>
        <w:jc w:val="center"/>
        <w:rPr>
          <w:rFonts w:ascii="方正小标宋简体" w:hAnsi="方正小标宋_GBK" w:eastAsia="方正小标宋简体" w:cs="方正小标宋_GBK"/>
          <w:sz w:val="44"/>
          <w:szCs w:val="44"/>
        </w:rPr>
      </w:pPr>
      <w:r>
        <w:rPr>
          <w:rFonts w:hint="eastAsia" w:ascii="方正小标宋简体" w:hAnsi="方正小标宋_GBK" w:eastAsia="方正小标宋简体" w:cs="方正小标宋_GBK"/>
          <w:sz w:val="44"/>
          <w:szCs w:val="44"/>
        </w:rPr>
        <w:t>陕西省人民防空办公室</w:t>
      </w:r>
    </w:p>
    <w:p>
      <w:pPr>
        <w:spacing w:line="560" w:lineRule="exact"/>
        <w:jc w:val="center"/>
        <w:rPr>
          <w:rFonts w:ascii="方正小标宋简体" w:hAnsi="方正小标宋_GBK" w:eastAsia="方正小标宋简体" w:cs="方正小标宋_GBK"/>
          <w:sz w:val="44"/>
          <w:szCs w:val="44"/>
        </w:rPr>
      </w:pPr>
      <w:r>
        <w:rPr>
          <w:rFonts w:hint="eastAsia" w:ascii="方正小标宋简体" w:hAnsi="方正小标宋_GBK" w:eastAsia="方正小标宋简体" w:cs="方正小标宋_GBK"/>
          <w:sz w:val="44"/>
          <w:szCs w:val="44"/>
        </w:rPr>
        <w:t>贯彻“营商环境突破年”六项措施</w:t>
      </w:r>
    </w:p>
    <w:p>
      <w:pPr>
        <w:spacing w:line="560" w:lineRule="exact"/>
        <w:ind w:firstLine="640" w:firstLineChars="200"/>
        <w:jc w:val="left"/>
        <w:rPr>
          <w:rFonts w:ascii="仿宋_GB2312" w:eastAsia="仿宋_GB2312"/>
          <w:sz w:val="32"/>
          <w:szCs w:val="32"/>
        </w:rPr>
      </w:pPr>
    </w:p>
    <w:p>
      <w:pPr>
        <w:spacing w:line="560" w:lineRule="exact"/>
        <w:ind w:firstLine="640" w:firstLineChars="200"/>
        <w:jc w:val="left"/>
        <w:rPr>
          <w:rFonts w:ascii="仿宋_GB2312" w:eastAsia="仿宋_GB2312"/>
          <w:sz w:val="32"/>
          <w:szCs w:val="32"/>
        </w:rPr>
      </w:pPr>
      <w:r>
        <w:rPr>
          <w:rFonts w:hint="eastAsia" w:ascii="仿宋_GB2312" w:eastAsia="仿宋_GB2312"/>
          <w:sz w:val="32"/>
          <w:szCs w:val="32"/>
        </w:rPr>
        <w:t>为深入贯彻党的二十大精神，全面落实习近平总书记来陕考察历次重要讲话指示。按照</w:t>
      </w:r>
      <w:r>
        <w:rPr>
          <w:rFonts w:hint="eastAsia" w:ascii="仿宋_GB2312" w:hAnsi="仿宋_GB2312" w:eastAsia="仿宋_GB2312" w:cs="仿宋_GB2312"/>
          <w:color w:val="222222"/>
          <w:sz w:val="32"/>
          <w:szCs w:val="32"/>
        </w:rPr>
        <w:t>省委省政府“三个年”活动要求</w:t>
      </w:r>
      <w:r>
        <w:rPr>
          <w:rFonts w:hint="eastAsia" w:ascii="仿宋_GB2312" w:eastAsia="仿宋_GB2312"/>
          <w:sz w:val="32"/>
          <w:szCs w:val="32"/>
        </w:rPr>
        <w:t>，在持续深化“放管服”改革要求的同时，着力构建亲清政商关系。为进一步优化人防领域营商环境，推动陕西人防高质量发展制定本措施。</w:t>
      </w:r>
    </w:p>
    <w:p>
      <w:pPr>
        <w:spacing w:line="560" w:lineRule="exact"/>
        <w:ind w:firstLine="640" w:firstLineChars="200"/>
        <w:rPr>
          <w:rFonts w:ascii="仿宋" w:hAnsi="仿宋" w:eastAsia="仿宋" w:cs="仿宋_GB2312"/>
          <w:sz w:val="32"/>
          <w:szCs w:val="32"/>
        </w:rPr>
      </w:pPr>
      <w:r>
        <w:rPr>
          <w:rFonts w:hint="eastAsia" w:ascii="黑体" w:hAnsi="黑体" w:eastAsia="黑体"/>
          <w:sz w:val="32"/>
          <w:szCs w:val="32"/>
        </w:rPr>
        <w:t>一、优化行政审批，提高办事效率。</w:t>
      </w:r>
      <w:r>
        <w:rPr>
          <w:rFonts w:hint="eastAsia" w:ascii="仿宋_GB2312" w:hAnsi="仿宋" w:eastAsia="仿宋_GB2312"/>
          <w:sz w:val="32"/>
          <w:szCs w:val="32"/>
        </w:rPr>
        <w:t>依据服务事项清单，逐事项制作办事指南，明确事项办理程序、法律依据、办理流程，审批时限。进一步压缩审批时限，</w:t>
      </w:r>
      <w:r>
        <w:rPr>
          <w:rFonts w:hint="eastAsia" w:ascii="仿宋" w:hAnsi="仿宋" w:eastAsia="仿宋" w:cs="仿宋_GB2312"/>
          <w:sz w:val="32"/>
          <w:szCs w:val="32"/>
        </w:rPr>
        <w:t>办理时限由20个自然日缩减至10个自然日，实现事项办理缩减一半的工作目标。</w:t>
      </w:r>
      <w:r>
        <w:rPr>
          <w:rFonts w:hint="eastAsia" w:ascii="仿宋_GB2312" w:hAnsi="仿宋" w:eastAsia="仿宋_GB2312"/>
          <w:sz w:val="32"/>
          <w:szCs w:val="32"/>
        </w:rPr>
        <w:t>优化事项办理流程，逐事项</w:t>
      </w:r>
      <w:r>
        <w:rPr>
          <w:rFonts w:hint="eastAsia" w:ascii="仿宋" w:hAnsi="仿宋" w:eastAsia="仿宋" w:cs="仿宋_GB2312"/>
          <w:sz w:val="32"/>
          <w:szCs w:val="32"/>
        </w:rPr>
        <w:t>梳理制定办理流程图，明确申请、受理、审查、决定等办理阶段的注意事项。</w:t>
      </w:r>
      <w:r>
        <w:rPr>
          <w:rFonts w:hint="eastAsia" w:ascii="仿宋_GB2312" w:hAnsi="仿宋" w:eastAsia="仿宋_GB2312"/>
          <w:sz w:val="32"/>
          <w:szCs w:val="32"/>
        </w:rPr>
        <w:t>严格坚持首问责任、服务承诺、一次性告知、限时办结的原则，进一步转变工作作风，改进服务质量，提高工作效能。</w:t>
      </w:r>
    </w:p>
    <w:p>
      <w:pPr>
        <w:spacing w:line="560" w:lineRule="exact"/>
        <w:ind w:firstLine="640" w:firstLineChars="200"/>
        <w:jc w:val="left"/>
        <w:rPr>
          <w:rFonts w:ascii="楷体_GB2312" w:hAnsi="黑体" w:eastAsia="楷体_GB2312"/>
          <w:sz w:val="32"/>
          <w:szCs w:val="32"/>
        </w:rPr>
      </w:pPr>
      <w:r>
        <w:rPr>
          <w:rFonts w:hint="eastAsia" w:ascii="黑体" w:hAnsi="黑体" w:eastAsia="黑体"/>
          <w:sz w:val="32"/>
          <w:szCs w:val="32"/>
        </w:rPr>
        <w:t>二、主动送法上门，提前介入服务。</w:t>
      </w:r>
      <w:r>
        <w:rPr>
          <w:rFonts w:hint="eastAsia" w:ascii="仿宋_GB2312" w:hAnsi="黑体" w:eastAsia="仿宋_GB2312"/>
          <w:sz w:val="32"/>
          <w:szCs w:val="32"/>
        </w:rPr>
        <w:t>增强服务意识，精准服务企业。每季度组织一次送法上门服务活动，面对面、全方位、多角度为企业提供人防法律咨询、法律扶持、跟踪指导、答疑解惑，为企业提供便捷高效的法律服务。</w:t>
      </w:r>
      <w:r>
        <w:rPr>
          <w:rFonts w:hint="eastAsia" w:ascii="仿宋_GB2312" w:hAnsi="仿宋_GB2312" w:eastAsia="仿宋_GB2312" w:cs="仿宋_GB2312"/>
          <w:sz w:val="32"/>
          <w:szCs w:val="32"/>
        </w:rPr>
        <w:t>让企业能够运用法律武器、合法途径维护自身的正当权益，用法律法规规范自己的经营行为。不断提高市场经营主体依法经营意识，有效预防和减少违法违规行为的发生。</w:t>
      </w:r>
    </w:p>
    <w:p>
      <w:pPr>
        <w:spacing w:line="560" w:lineRule="exact"/>
        <w:ind w:firstLine="640" w:firstLineChars="200"/>
        <w:rPr>
          <w:rFonts w:ascii="仿宋_GB2312" w:hAnsi="黑体" w:eastAsia="仿宋_GB2312"/>
          <w:sz w:val="32"/>
          <w:szCs w:val="32"/>
        </w:rPr>
      </w:pPr>
      <w:r>
        <w:rPr>
          <w:rFonts w:hint="eastAsia" w:ascii="黑体" w:hAnsi="黑体" w:eastAsia="黑体" w:cs="楷体_GB2312"/>
          <w:sz w:val="32"/>
          <w:szCs w:val="32"/>
        </w:rPr>
        <w:t>三、坚持问题导向，帮助企业纾困。</w:t>
      </w:r>
      <w:r>
        <w:rPr>
          <w:rFonts w:hint="eastAsia" w:ascii="仿宋_GB2312" w:hAnsi="黑体" w:eastAsia="仿宋_GB2312"/>
          <w:sz w:val="32"/>
          <w:szCs w:val="32"/>
        </w:rPr>
        <w:t>聚焦人防市场主体，每两个月组织一次深入企业</w:t>
      </w:r>
      <w:r>
        <w:rPr>
          <w:rFonts w:hint="eastAsia" w:ascii="仿宋_GB2312" w:hAnsi="宋体" w:eastAsia="仿宋_GB2312" w:cs="宋体"/>
          <w:sz w:val="32"/>
          <w:szCs w:val="32"/>
        </w:rPr>
        <w:t>服务</w:t>
      </w:r>
      <w:r>
        <w:rPr>
          <w:rFonts w:hint="eastAsia" w:ascii="仿宋_GB2312" w:hAnsi="黑体" w:eastAsia="仿宋_GB2312"/>
          <w:sz w:val="32"/>
          <w:szCs w:val="32"/>
        </w:rPr>
        <w:t>活动，每年组织一次由主要领导同志带队的“坐窗口、走流程、跟执法”活动，全力解决企业在市场运营过程中，遇到的“堵点”“痛点”“难点”问题。畅通企业诉求和权益保护的反映渠道，及时听取企业的反映和诉求，为企业办实事解难题，切实解决实际问题，提升企业对人防领域营商环境的满意度。</w:t>
      </w:r>
      <w:r>
        <w:rPr>
          <w:rFonts w:hint="eastAsia" w:ascii="仿宋_GB2312" w:hAnsi="仿宋_GB2312" w:eastAsia="仿宋_GB2312" w:cs="仿宋_GB2312"/>
          <w:sz w:val="32"/>
          <w:szCs w:val="32"/>
        </w:rPr>
        <w:t>建立优化营商环境常态化建言机制，广泛听取社会各界意见建议，形成多方参与监督的优化营商环境工作格局。</w:t>
      </w:r>
    </w:p>
    <w:p>
      <w:pPr>
        <w:spacing w:line="560" w:lineRule="exact"/>
        <w:ind w:firstLine="640" w:firstLineChars="200"/>
        <w:jc w:val="left"/>
        <w:rPr>
          <w:rFonts w:ascii="仿宋_GB2312" w:hAnsi="黑体" w:eastAsia="仿宋_GB2312"/>
          <w:sz w:val="32"/>
          <w:szCs w:val="32"/>
        </w:rPr>
      </w:pPr>
      <w:r>
        <w:rPr>
          <w:rFonts w:hint="eastAsia" w:ascii="黑体" w:hAnsi="黑体" w:eastAsia="黑体"/>
          <w:sz w:val="32"/>
          <w:szCs w:val="32"/>
        </w:rPr>
        <w:t>四、扶持人防企业，激发市场活力。</w:t>
      </w:r>
      <w:r>
        <w:rPr>
          <w:rFonts w:hint="eastAsia" w:ascii="仿宋_GB2312" w:hAnsi="黑体" w:eastAsia="仿宋_GB2312"/>
          <w:sz w:val="32"/>
          <w:szCs w:val="32"/>
        </w:rPr>
        <w:t>鼓励、扶持、支持企业事业单位、社会团体，通过多种途径，进行人民防空工程建设。通过招商引资等形式，鼓励社会力量在陕投资办厂，兴办人防企业，鼓励和支持符合要求的所有参与人防工程建设的第三方服务机构在陕承接业务。鼓励、扶持、支持人防企业技术创新，研发新产品，提高企业核心竞争力。对待人防企业公平公正、一视同仁，逐步形成统一开放、竞争有序、充满活力的陕西人防领域市场新格局。</w:t>
      </w:r>
    </w:p>
    <w:p>
      <w:pPr>
        <w:spacing w:line="560" w:lineRule="exact"/>
        <w:ind w:firstLine="640" w:firstLineChars="200"/>
        <w:rPr>
          <w:rFonts w:ascii="仿宋_GB2312" w:hAnsi="仿宋_GB2312" w:eastAsia="仿宋_GB2312" w:cs="仿宋_GB2312"/>
          <w:sz w:val="32"/>
          <w:szCs w:val="32"/>
        </w:rPr>
      </w:pPr>
      <w:r>
        <w:rPr>
          <w:rFonts w:hint="eastAsia" w:ascii="黑体" w:hAnsi="黑体" w:eastAsia="黑体"/>
          <w:sz w:val="32"/>
          <w:szCs w:val="32"/>
        </w:rPr>
        <w:t>五、完善信用监管，鼓励守法经营。</w:t>
      </w:r>
      <w:r>
        <w:rPr>
          <w:rFonts w:hint="eastAsia" w:ascii="仿宋_GB2312" w:hAnsi="仿宋_GB2312" w:eastAsia="仿宋_GB2312" w:cs="仿宋_GB2312"/>
          <w:sz w:val="32"/>
          <w:szCs w:val="32"/>
        </w:rPr>
        <w:t>建立守信激励机制，每年开展一次人防领域守信企业“红名单”激励活动，表彰一批在人防工程建设中做出显著成绩的组织或个人，以及参与人防工程建设的诚实守信、依法经营企业和个人，鼓励人防企业诚信行为。总结推广守信企业的做法和经验，加大激励诚信主体力度，不断增强责任主体的质量安全意识和诚信守法观念。规范各类人防企业生产经营行为，营造诚信有序市场环境，促进陕西人防高质量发展。</w:t>
      </w:r>
    </w:p>
    <w:p>
      <w:pPr>
        <w:spacing w:line="560" w:lineRule="exact"/>
        <w:ind w:firstLine="640" w:firstLineChars="200"/>
        <w:rPr>
          <w:rFonts w:ascii="黑体" w:hAnsi="黑体" w:eastAsia="黑体" w:cs="楷体_GB2312"/>
          <w:sz w:val="32"/>
          <w:szCs w:val="32"/>
        </w:rPr>
      </w:pPr>
      <w:r>
        <w:rPr>
          <w:rFonts w:hint="eastAsia" w:ascii="黑体" w:hAnsi="黑体" w:eastAsia="黑体" w:cs="楷体_GB2312"/>
          <w:sz w:val="32"/>
          <w:szCs w:val="32"/>
        </w:rPr>
        <w:t>六、强化服务保障，营造良好氛围</w:t>
      </w:r>
      <w:r>
        <w:rPr>
          <w:rFonts w:hint="eastAsia" w:ascii="黑体" w:hAnsi="黑体" w:eastAsia="黑体" w:cs="仿宋_GB2312"/>
          <w:sz w:val="32"/>
          <w:szCs w:val="32"/>
        </w:rPr>
        <w:t>。</w:t>
      </w:r>
      <w:r>
        <w:rPr>
          <w:rFonts w:hint="eastAsia" w:ascii="仿宋_GB2312" w:hAnsi="黑体" w:eastAsia="仿宋_GB2312" w:cs="仿宋_GB2312"/>
          <w:sz w:val="32"/>
          <w:szCs w:val="32"/>
        </w:rPr>
        <w:t>每年组织一次优化</w:t>
      </w:r>
      <w:r>
        <w:rPr>
          <w:rFonts w:hint="eastAsia" w:ascii="仿宋_GB2312" w:hAnsi="仿宋_GB2312" w:eastAsia="仿宋_GB2312" w:cs="仿宋_GB2312"/>
          <w:sz w:val="32"/>
          <w:szCs w:val="32"/>
        </w:rPr>
        <w:t>营商环境活动，表彰一批在优化人防营商环境工作中作出成绩的单位和个人。提炼总结全省人防系统在优化营商环境工作中的主要做法和特色亮点，让社会各界实实在在感受到人防优化营商环境的新变化、新作为、新成效，努力营造“人人都是营商环境，人人参与营商环境，人人服务营商环境”的良好氛围。</w:t>
      </w:r>
    </w:p>
    <w:p>
      <w:pPr>
        <w:keepNext w:val="0"/>
        <w:keepLines w:val="0"/>
        <w:pageBreakBefore w:val="0"/>
        <w:widowControl w:val="0"/>
        <w:kinsoku/>
        <w:wordWrap/>
        <w:overflowPunct/>
        <w:topLinePunct w:val="0"/>
        <w:autoSpaceDE/>
        <w:autoSpaceDN/>
        <w:bidi w:val="0"/>
        <w:adjustRightInd/>
        <w:snapToGrid/>
        <w:spacing w:line="500" w:lineRule="exact"/>
        <w:ind w:right="0" w:rightChars="0"/>
        <w:jc w:val="both"/>
        <w:textAlignment w:val="auto"/>
        <w:outlineLvl w:val="9"/>
        <w:rPr>
          <w:rFonts w:hint="eastAsia" w:ascii="仿宋_GB2312" w:eastAsia="仿宋_GB2312"/>
          <w:sz w:val="32"/>
          <w:szCs w:val="32"/>
        </w:rPr>
      </w:pPr>
    </w:p>
    <w:sectPr>
      <w:footerReference r:id="rId3" w:type="default"/>
      <w:footerReference r:id="rId4" w:type="even"/>
      <w:pgSz w:w="11906" w:h="16838"/>
      <w:pgMar w:top="2098" w:right="1474" w:bottom="1701" w:left="1587" w:header="851" w:footer="992" w:gutter="0"/>
      <w:pgNumType w:fmt="numberInDash"/>
      <w:cols w:space="0" w:num="1"/>
      <w:titlePg/>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altName w:val="方正仿宋_GBK"/>
    <w:panose1 w:val="02010609030101010101"/>
    <w:charset w:val="86"/>
    <w:family w:val="modern"/>
    <w:pitch w:val="default"/>
    <w:sig w:usb0="00000000" w:usb1="00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方正小标宋_GBK">
    <w:panose1 w:val="02000000000000000000"/>
    <w:charset w:val="86"/>
    <w:family w:val="auto"/>
    <w:pitch w:val="default"/>
    <w:sig w:usb0="00000001" w:usb1="08000000" w:usb2="00000000" w:usb3="00000000" w:csb0="00040000" w:csb1="00000000"/>
  </w:font>
  <w:font w:name="仿宋">
    <w:altName w:val="方正仿宋_GBK"/>
    <w:panose1 w:val="02010609060101010101"/>
    <w:charset w:val="86"/>
    <w:family w:val="auto"/>
    <w:pitch w:val="default"/>
    <w:sig w:usb0="00000000" w:usb1="00000000" w:usb2="00000016" w:usb3="00000000" w:csb0="00040001" w:csb1="00000000"/>
  </w:font>
  <w:font w:name="楷体_GB2312">
    <w:altName w:val="方正楷体_GBK"/>
    <w:panose1 w:val="02010609030101010101"/>
    <w:charset w:val="86"/>
    <w:family w:val="modern"/>
    <w:pitch w:val="default"/>
    <w:sig w:usb0="00000000" w:usb1="00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仿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CESI黑体-GB2312">
    <w:panose1 w:val="02000500000000000000"/>
    <w:charset w:val="86"/>
    <w:family w:val="auto"/>
    <w:pitch w:val="default"/>
    <w:sig w:usb0="800002BF" w:usb1="184F6CF8" w:usb2="00000012" w:usb3="00000000" w:csb0="0004000F" w:csb1="00000000"/>
  </w:font>
  <w:font w:name="Standard Symbols PS">
    <w:panose1 w:val="05050102010706020507"/>
    <w:charset w:val="00"/>
    <w:family w:val="auto"/>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w:pict>
        <v:shape id="_x0000_s4097" o:spid="_x0000_s4097" o:spt="202" type="#_x0000_t202" style="position:absolute;left:0pt;margin-left:405.35pt;margin-top:-21pt;height:144pt;width:144pt;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pPr>
                  <w:snapToGrid w:val="0"/>
                  <w:rPr>
                    <w:rFonts w:hint="eastAsia" w:eastAsiaTheme="minorEastAsia"/>
                    <w:sz w:val="1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3</w:t>
                </w:r>
                <w:r>
                  <w:rPr>
                    <w:rFonts w:hint="eastAsia" w:asciiTheme="minorEastAsia" w:hAnsiTheme="minorEastAsia" w:eastAsiaTheme="minorEastAsia" w:cstheme="minorEastAsia"/>
                    <w:sz w:val="28"/>
                    <w:szCs w:val="28"/>
                    <w:lang w:eastAsia="zh-CN"/>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w:pict>
        <v:shape id="_x0000_s4098" o:spid="_x0000_s4098" o:spt="202" type="#_x0000_t202" style="position:absolute;left:0pt;margin-left:2.6pt;margin-top:-21pt;height:144pt;width:144pt;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pPr>
                  <w:snapToGrid w:val="0"/>
                  <w:rPr>
                    <w:rFonts w:hint="eastAsia" w:eastAsiaTheme="minorEastAsia"/>
                    <w:sz w:val="1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- 2 -</w:t>
                </w:r>
                <w:r>
                  <w:rPr>
                    <w:rFonts w:hint="eastAsia" w:asciiTheme="minorEastAsia" w:hAnsiTheme="minorEastAsia" w:eastAsiaTheme="minorEastAsia" w:cstheme="minorEastAsia"/>
                    <w:sz w:val="28"/>
                    <w:szCs w:val="28"/>
                    <w:lang w:eastAsia="zh-CN"/>
                  </w:rP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1"/>
  <w:doNotDisplayPageBoundaries w:val="true"/>
  <w:bordersDoNotSurroundHeader w:val="true"/>
  <w:bordersDoNotSurroundFooter w:val="true"/>
  <w:documentProtection w:enforcement="0"/>
  <w:defaultTabStop w:val="420"/>
  <w:evenAndOddHeaders w:val="true"/>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3B5C6E"/>
    <w:rsid w:val="00114EFD"/>
    <w:rsid w:val="002F5257"/>
    <w:rsid w:val="003B5C6E"/>
    <w:rsid w:val="00457F60"/>
    <w:rsid w:val="00623B60"/>
    <w:rsid w:val="00635F3E"/>
    <w:rsid w:val="00746988"/>
    <w:rsid w:val="009B53D5"/>
    <w:rsid w:val="00BA66E5"/>
    <w:rsid w:val="00C103BC"/>
    <w:rsid w:val="00F427B7"/>
    <w:rsid w:val="00FB13EF"/>
    <w:rsid w:val="30697862"/>
    <w:rsid w:val="3EEB4ED2"/>
    <w:rsid w:val="5057151B"/>
    <w:rsid w:val="653E2994"/>
    <w:rsid w:val="71844A0E"/>
    <w:rsid w:val="F53919D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qFormat="1" w:unhideWhenUsed="0" w:uiPriority="0" w:semiHidden="0"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unhideWhenUsed/>
    <w:qFormat/>
    <w:uiPriority w:val="1"/>
  </w:style>
  <w:style w:type="table" w:default="1" w:styleId="5">
    <w:name w:val="Normal Table"/>
    <w:unhideWhenUsed/>
    <w:qFormat/>
    <w:uiPriority w:val="99"/>
    <w:tblPr>
      <w:tblCellMar>
        <w:top w:w="0" w:type="dxa"/>
        <w:left w:w="108" w:type="dxa"/>
        <w:bottom w:w="0" w:type="dxa"/>
        <w:right w:w="108" w:type="dxa"/>
      </w:tblCellMar>
    </w:tblPr>
  </w:style>
  <w:style w:type="paragraph" w:styleId="2">
    <w:name w:val="Block Text"/>
    <w:basedOn w:val="1"/>
    <w:qFormat/>
    <w:uiPriority w:val="0"/>
    <w:pPr>
      <w:spacing w:after="120"/>
      <w:ind w:left="1440" w:leftChars="700" w:right="1440" w:rightChars="700"/>
    </w:p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semiHidden/>
    <w:qFormat/>
    <w:uiPriority w:val="99"/>
    <w:rPr>
      <w:sz w:val="18"/>
      <w:szCs w:val="18"/>
    </w:rPr>
  </w:style>
  <w:style w:type="character" w:customStyle="1" w:styleId="8">
    <w:name w:val="页脚 Char"/>
    <w:basedOn w:val="6"/>
    <w:link w:val="3"/>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4097" textRotate="1"/>
    <customShpInfo spid="_x0000_s4098"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28</Words>
  <Characters>160</Characters>
  <Lines>1</Lines>
  <Paragraphs>1</Paragraphs>
  <TotalTime>0</TotalTime>
  <ScaleCrop>false</ScaleCrop>
  <LinksUpToDate>false</LinksUpToDate>
  <CharactersWithSpaces>187</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2023-04-13T08:48:00Z</dcterms:created>
  <dc:creator>lenovo</dc:creator>
  <cp:lastModifiedBy>user</cp:lastModifiedBy>
  <cp:lastPrinted>2023-04-13T08:52:00Z</cp:lastPrinted>
  <dcterms:modified xsi:type="dcterms:W3CDTF">2023-11-03T09:22:29Z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ies>
</file>